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1D8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jc w:val="center"/>
        <w:textAlignment w:val="auto"/>
        <w:rPr>
          <w:rFonts w:hint="eastAsia" w:ascii="幼圆" w:hAnsi="幼圆" w:eastAsia="幼圆" w:cs="幼圆"/>
          <w:b/>
          <w:bCs/>
          <w:sz w:val="30"/>
          <w:szCs w:val="30"/>
          <w:lang w:val="en-US" w:eastAsia="zh-CN"/>
        </w:rPr>
      </w:pPr>
      <w:r>
        <w:rPr>
          <w:rFonts w:hint="eastAsia" w:ascii="幼圆" w:hAnsi="幼圆" w:eastAsia="幼圆" w:cs="幼圆"/>
          <w:b/>
          <w:bCs/>
          <w:sz w:val="30"/>
          <w:szCs w:val="30"/>
          <w:lang w:eastAsia="zh-CN"/>
        </w:rPr>
        <w:t>【</w:t>
      </w:r>
      <w:r>
        <w:rPr>
          <w:rFonts w:hint="eastAsia" w:ascii="幼圆" w:hAnsi="幼圆" w:eastAsia="幼圆" w:cs="幼圆"/>
          <w:b/>
          <w:bCs/>
          <w:sz w:val="30"/>
          <w:szCs w:val="30"/>
          <w:lang w:val="en-US" w:eastAsia="zh-CN"/>
        </w:rPr>
        <w:t xml:space="preserve">Onelife </w:t>
      </w:r>
      <w:r>
        <w:rPr>
          <w:rFonts w:hint="eastAsia" w:ascii="幼圆" w:hAnsi="幼圆" w:eastAsia="幼圆" w:cs="幼圆"/>
          <w:b/>
          <w:bCs/>
          <w:sz w:val="30"/>
          <w:szCs w:val="30"/>
          <w:shd w:val="clear" w:color="auto" w:fill="auto"/>
          <w:lang w:val="zh-CN" w:eastAsia="zh-CN"/>
        </w:rPr>
        <w:t>测序</w:t>
      </w:r>
      <w:r>
        <w:rPr>
          <w:rFonts w:hint="eastAsia" w:ascii="幼圆" w:hAnsi="幼圆" w:eastAsia="幼圆" w:cs="幼圆"/>
          <w:b/>
          <w:bCs/>
          <w:sz w:val="30"/>
          <w:szCs w:val="30"/>
          <w:shd w:val="clear" w:color="auto" w:fill="auto"/>
          <w:lang w:val="en-US" w:eastAsia="zh-CN"/>
        </w:rPr>
        <w:t>标准品</w:t>
      </w:r>
      <w:r>
        <w:rPr>
          <w:rFonts w:hint="eastAsia" w:ascii="幼圆" w:hAnsi="幼圆" w:eastAsia="幼圆" w:cs="幼圆"/>
          <w:b/>
          <w:bCs/>
          <w:sz w:val="30"/>
          <w:szCs w:val="30"/>
          <w:lang w:eastAsia="zh-CN"/>
        </w:rPr>
        <w:t>】</w:t>
      </w:r>
      <w:r>
        <w:rPr>
          <w:rFonts w:hint="eastAsia" w:ascii="幼圆" w:hAnsi="幼圆" w:eastAsia="幼圆" w:cs="幼圆"/>
          <w:b/>
          <w:bCs/>
          <w:sz w:val="30"/>
          <w:szCs w:val="30"/>
          <w:lang w:val="en-US" w:eastAsia="zh-CN"/>
        </w:rPr>
        <w:t>使用说明书</w:t>
      </w:r>
    </w:p>
    <w:p w14:paraId="6205EE74">
      <w:pPr>
        <w:spacing w:line="240" w:lineRule="auto"/>
        <w:rPr>
          <w:rFonts w:hint="eastAsia" w:ascii="幼圆" w:hAnsi="幼圆" w:eastAsia="幼圆" w:cs="幼圆"/>
          <w:sz w:val="21"/>
          <w:szCs w:val="21"/>
        </w:rPr>
      </w:pPr>
      <w:r>
        <w:rPr>
          <w:rFonts w:hint="eastAsia" w:ascii="幼圆" w:hAnsi="幼圆" w:eastAsia="幼圆" w:cs="幼圆"/>
          <w:sz w:val="21"/>
          <w:szCs w:val="21"/>
          <w:lang w:eastAsia="zh-CN"/>
        </w:rPr>
        <w:t>【</w:t>
      </w:r>
      <w:r>
        <w:rPr>
          <w:rFonts w:hint="eastAsia" w:ascii="幼圆" w:hAnsi="幼圆" w:eastAsia="幼圆" w:cs="幼圆"/>
          <w:sz w:val="21"/>
          <w:szCs w:val="21"/>
        </w:rPr>
        <w:t>产品名称</w:t>
      </w:r>
      <w:r>
        <w:rPr>
          <w:rFonts w:hint="eastAsia" w:ascii="幼圆" w:hAnsi="幼圆" w:eastAsia="幼圆" w:cs="幼圆"/>
          <w:sz w:val="21"/>
          <w:szCs w:val="21"/>
          <w:lang w:eastAsia="zh-CN"/>
        </w:rPr>
        <w:t>】</w:t>
      </w: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 xml:space="preserve">Onelife 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测序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标准品</w:t>
      </w:r>
      <w:r>
        <w:rPr>
          <w:rFonts w:hint="eastAsia" w:ascii="幼圆" w:hAnsi="幼圆" w:eastAsia="幼圆" w:cs="幼圆"/>
          <w:sz w:val="21"/>
          <w:szCs w:val="21"/>
        </w:rPr>
        <w:t xml:space="preserve"> </w:t>
      </w:r>
    </w:p>
    <w:p w14:paraId="4EAE2229">
      <w:pPr>
        <w:spacing w:line="240" w:lineRule="auto"/>
        <w:rPr>
          <w:rFonts w:hint="eastAsia" w:ascii="幼圆" w:hAnsi="幼圆" w:eastAsia="幼圆" w:cs="幼圆"/>
          <w:sz w:val="21"/>
          <w:szCs w:val="21"/>
        </w:rPr>
      </w:pPr>
      <w:r>
        <w:rPr>
          <w:rFonts w:hint="eastAsia" w:ascii="Times New Roman" w:hAnsi="Times New Roman" w:eastAsia="幼圆" w:cs="Times New Roman"/>
          <w:sz w:val="21"/>
          <w:szCs w:val="21"/>
          <w:lang w:eastAsia="zh-CN"/>
        </w:rPr>
        <w:t>【</w:t>
      </w:r>
      <w:r>
        <w:rPr>
          <w:rFonts w:ascii="Times New Roman" w:hAnsi="Times New Roman" w:eastAsia="幼圆" w:cs="Times New Roman"/>
          <w:sz w:val="21"/>
          <w:szCs w:val="21"/>
        </w:rPr>
        <w:t xml:space="preserve">用  </w:t>
      </w:r>
      <w:r>
        <w:rPr>
          <w:rFonts w:hint="eastAsia" w:ascii="Times New Roman" w:hAnsi="Times New Roman" w:eastAsia="幼圆" w:cs="Times New Roman"/>
          <w:sz w:val="21"/>
          <w:szCs w:val="21"/>
          <w:lang w:val="en-US" w:eastAsia="zh-CN"/>
        </w:rPr>
        <w:t xml:space="preserve"> </w:t>
      </w:r>
      <w:r>
        <w:rPr>
          <w:rFonts w:ascii="Times New Roman" w:hAnsi="Times New Roman" w:eastAsia="幼圆" w:cs="Times New Roman"/>
          <w:sz w:val="21"/>
          <w:szCs w:val="21"/>
        </w:rPr>
        <w:t xml:space="preserve"> 途</w:t>
      </w:r>
      <w:r>
        <w:rPr>
          <w:rFonts w:hint="eastAsia" w:ascii="Times New Roman" w:hAnsi="Times New Roman" w:eastAsia="幼圆" w:cs="Times New Roman"/>
          <w:sz w:val="21"/>
          <w:szCs w:val="21"/>
          <w:lang w:eastAsia="zh-CN"/>
        </w:rPr>
        <w:t>】</w:t>
      </w:r>
    </w:p>
    <w:p w14:paraId="3E82F72A">
      <w:pPr>
        <w:numPr>
          <w:ilvl w:val="0"/>
          <w:numId w:val="0"/>
        </w:numPr>
        <w:spacing w:line="240" w:lineRule="auto"/>
        <w:ind w:firstLine="420" w:firstLineChars="200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</w:pP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 xml:space="preserve">Onelife 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测序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标准品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是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用BD3（Bigdye）制备的1394个已知碱基序列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的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DNA冻干，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它定义了样品中染料峰的数量、染料颜色和迁移顺序。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该标准品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中含有的DNA已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制成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冻干，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可以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最大限度地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保证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稳定性。</w:t>
      </w:r>
    </w:p>
    <w:p w14:paraId="4DC3BDDF">
      <w:pPr>
        <w:numPr>
          <w:ilvl w:val="0"/>
          <w:numId w:val="0"/>
        </w:numPr>
        <w:spacing w:line="240" w:lineRule="auto"/>
        <w:ind w:firstLine="420" w:firstLineChars="200"/>
        <w:rPr>
          <w:rFonts w:hint="default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ascii="幼圆" w:hAnsi="幼圆" w:eastAsia="幼圆" w:cs="幼圆"/>
          <w:i w:val="0"/>
          <w:iCs w:val="0"/>
          <w:caps w:val="0"/>
          <w:color w:val="000000"/>
          <w:spacing w:val="0"/>
          <w:sz w:val="21"/>
          <w:szCs w:val="21"/>
        </w:rPr>
        <w:t>适用于基因分析仪</w:t>
      </w:r>
      <w:r>
        <w:rPr>
          <w:rFonts w:hint="eastAsia" w:ascii="幼圆" w:hAnsi="幼圆" w:eastAsia="幼圆" w:cs="幼圆"/>
          <w:i w:val="0"/>
          <w:iCs w:val="0"/>
          <w:caps w:val="0"/>
          <w:color w:val="000000"/>
          <w:spacing w:val="0"/>
          <w:sz w:val="21"/>
          <w:szCs w:val="21"/>
        </w:rPr>
        <w:t>安装或调试后的性能测试、光谱校准、对照测序。</w:t>
      </w:r>
    </w:p>
    <w:p w14:paraId="2FCFD363">
      <w:pPr>
        <w:pStyle w:val="15"/>
        <w:numPr>
          <w:ilvl w:val="0"/>
          <w:numId w:val="0"/>
        </w:numPr>
        <w:rPr>
          <w:rFonts w:hint="eastAsia" w:ascii="Times New Roman" w:hAnsi="Times New Roman" w:eastAsia="幼圆" w:cs="Times New Roman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幼圆" w:cs="Times New Roman"/>
          <w:b w:val="0"/>
          <w:bCs w:val="0"/>
          <w:sz w:val="21"/>
          <w:szCs w:val="21"/>
          <w:lang w:eastAsia="zh-CN"/>
        </w:rPr>
        <w:t>【</w:t>
      </w:r>
      <w:r>
        <w:rPr>
          <w:rFonts w:ascii="Times New Roman" w:hAnsi="Times New Roman" w:eastAsia="幼圆" w:cs="Times New Roman"/>
          <w:b w:val="0"/>
          <w:bCs w:val="0"/>
          <w:sz w:val="21"/>
          <w:szCs w:val="21"/>
        </w:rPr>
        <w:t>包装规格</w:t>
      </w:r>
      <w:r>
        <w:rPr>
          <w:rFonts w:hint="eastAsia" w:ascii="Times New Roman" w:hAnsi="Times New Roman" w:eastAsia="幼圆" w:cs="Times New Roman"/>
          <w:b w:val="0"/>
          <w:bCs w:val="0"/>
          <w:sz w:val="21"/>
          <w:szCs w:val="21"/>
          <w:lang w:eastAsia="zh-CN"/>
        </w:rPr>
        <w:t>】</w:t>
      </w:r>
    </w:p>
    <w:tbl>
      <w:tblPr>
        <w:tblStyle w:val="7"/>
        <w:tblW w:w="106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7"/>
        <w:gridCol w:w="2537"/>
        <w:gridCol w:w="2852"/>
        <w:gridCol w:w="2492"/>
      </w:tblGrid>
      <w:tr w14:paraId="0BC67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2777" w:type="dxa"/>
            <w:tcBorders>
              <w:tl2br w:val="single" w:color="auto" w:sz="4" w:space="0"/>
            </w:tcBorders>
            <w:shd w:val="clear" w:color="auto" w:fill="E7E6E6" w:themeFill="background2"/>
            <w:vAlign w:val="center"/>
          </w:tcPr>
          <w:p w14:paraId="6BB5EAB8">
            <w:pPr>
              <w:spacing w:line="240" w:lineRule="auto"/>
              <w:jc w:val="center"/>
              <w:rPr>
                <w:rFonts w:hint="eastAsia" w:ascii="幼圆" w:hAnsi="幼圆" w:eastAsia="幼圆" w:cs="幼圆"/>
                <w:b/>
                <w:bCs/>
                <w:sz w:val="21"/>
                <w:szCs w:val="21"/>
              </w:rPr>
            </w:pP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031FE6A9">
            <w:pPr>
              <w:spacing w:line="240" w:lineRule="auto"/>
              <w:jc w:val="center"/>
              <w:rPr>
                <w:rFonts w:hint="default" w:ascii="幼圆" w:hAnsi="幼圆" w:eastAsia="幼圆" w:cs="幼圆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/>
                <w:bCs/>
                <w:sz w:val="21"/>
                <w:szCs w:val="21"/>
                <w:lang w:val="en-US" w:eastAsia="zh-CN"/>
              </w:rPr>
              <w:t>货号</w:t>
            </w:r>
          </w:p>
        </w:tc>
        <w:tc>
          <w:tcPr>
            <w:tcW w:w="2852" w:type="dxa"/>
            <w:shd w:val="clear" w:color="auto" w:fill="E7E6E6" w:themeFill="background2"/>
            <w:vAlign w:val="center"/>
          </w:tcPr>
          <w:p w14:paraId="03F6D7E6">
            <w:pPr>
              <w:spacing w:line="240" w:lineRule="auto"/>
              <w:jc w:val="center"/>
              <w:rPr>
                <w:rFonts w:hint="eastAsia" w:ascii="幼圆" w:hAnsi="幼圆" w:eastAsia="幼圆" w:cs="幼圆"/>
                <w:b/>
                <w:bCs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sz w:val="21"/>
                <w:szCs w:val="21"/>
                <w:lang w:val="en-US" w:eastAsia="zh-CN"/>
              </w:rPr>
              <w:t>包装规格</w:t>
            </w:r>
          </w:p>
        </w:tc>
        <w:tc>
          <w:tcPr>
            <w:tcW w:w="2492" w:type="dxa"/>
            <w:shd w:val="clear" w:color="auto" w:fill="E7E6E6" w:themeFill="background2"/>
            <w:vAlign w:val="center"/>
          </w:tcPr>
          <w:p w14:paraId="4C0E13F9">
            <w:pPr>
              <w:spacing w:line="240" w:lineRule="auto"/>
              <w:jc w:val="center"/>
              <w:rPr>
                <w:rFonts w:hint="eastAsia" w:ascii="幼圆" w:hAnsi="幼圆" w:eastAsia="幼圆" w:cs="幼圆"/>
                <w:b/>
                <w:bCs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sz w:val="21"/>
                <w:szCs w:val="21"/>
                <w:lang w:val="en-US" w:eastAsia="zh-CN"/>
              </w:rPr>
              <w:t>储存</w:t>
            </w:r>
            <w:r>
              <w:rPr>
                <w:rFonts w:hint="eastAsia" w:ascii="幼圆" w:hAnsi="幼圆" w:eastAsia="幼圆" w:cs="幼圆"/>
                <w:b/>
                <w:bCs/>
                <w:sz w:val="21"/>
                <w:szCs w:val="21"/>
              </w:rPr>
              <w:t>温度</w:t>
            </w:r>
          </w:p>
        </w:tc>
      </w:tr>
      <w:tr w14:paraId="108B5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2777" w:type="dxa"/>
            <w:vMerge w:val="restart"/>
            <w:vAlign w:val="center"/>
          </w:tcPr>
          <w:p w14:paraId="60333DAC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 xml:space="preserve">Onelife </w:t>
            </w: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lang w:val="zh-CN" w:eastAsia="zh-CN" w:bidi="ar"/>
              </w:rPr>
              <w:t>测序</w:t>
            </w: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lang w:val="en-US" w:eastAsia="zh-CN" w:bidi="ar"/>
              </w:rPr>
              <w:t>标准品</w:t>
            </w:r>
          </w:p>
        </w:tc>
        <w:tc>
          <w:tcPr>
            <w:tcW w:w="2537" w:type="dxa"/>
            <w:vAlign w:val="center"/>
          </w:tcPr>
          <w:p w14:paraId="3FE98EFC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i w:val="0"/>
                <w:iCs w:val="0"/>
                <w:caps w:val="0"/>
                <w:color w:val="auto"/>
                <w:spacing w:val="4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852" w:type="dxa"/>
            <w:vAlign w:val="center"/>
          </w:tcPr>
          <w:p w14:paraId="73116DC2">
            <w:pPr>
              <w:spacing w:line="240" w:lineRule="auto"/>
              <w:jc w:val="center"/>
              <w:rPr>
                <w:rFonts w:hint="default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>1支</w:t>
            </w:r>
          </w:p>
        </w:tc>
        <w:tc>
          <w:tcPr>
            <w:tcW w:w="2492" w:type="dxa"/>
            <w:vMerge w:val="restart"/>
            <w:vAlign w:val="center"/>
          </w:tcPr>
          <w:p w14:paraId="01E32E52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>-25</w:t>
            </w: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</w:rPr>
              <w:t>℃</w:t>
            </w:r>
            <w:r>
              <w:rPr>
                <w:rFonts w:hint="eastAsia" w:ascii="Times New Roman" w:hAnsi="Times New Roman" w:eastAsia="幼圆" w:cs="Times New Roman"/>
                <w:b w:val="0"/>
                <w:bCs w:val="0"/>
                <w:sz w:val="21"/>
                <w:szCs w:val="21"/>
                <w:lang w:val="en-US" w:eastAsia="zh-CN"/>
              </w:rPr>
              <w:t xml:space="preserve">~ </w:t>
            </w: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>-15</w:t>
            </w: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</w:rPr>
              <w:t>℃</w:t>
            </w:r>
          </w:p>
        </w:tc>
      </w:tr>
      <w:tr w14:paraId="79FF3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2777" w:type="dxa"/>
            <w:vMerge w:val="continue"/>
            <w:vAlign w:val="center"/>
          </w:tcPr>
          <w:p w14:paraId="66ACFEC9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37" w:type="dxa"/>
            <w:vAlign w:val="center"/>
          </w:tcPr>
          <w:p w14:paraId="7A0B245A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i w:val="0"/>
                <w:iCs w:val="0"/>
                <w:caps w:val="0"/>
                <w:color w:val="auto"/>
                <w:spacing w:val="4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852" w:type="dxa"/>
            <w:vAlign w:val="center"/>
          </w:tcPr>
          <w:p w14:paraId="5CB1D7F0">
            <w:pPr>
              <w:spacing w:line="240" w:lineRule="auto"/>
              <w:jc w:val="center"/>
              <w:rPr>
                <w:rFonts w:hint="default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>2支</w:t>
            </w:r>
          </w:p>
        </w:tc>
        <w:tc>
          <w:tcPr>
            <w:tcW w:w="2492" w:type="dxa"/>
            <w:vMerge w:val="continue"/>
            <w:vAlign w:val="center"/>
          </w:tcPr>
          <w:p w14:paraId="7ED17C91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21DC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2777" w:type="dxa"/>
            <w:vMerge w:val="continue"/>
            <w:vAlign w:val="center"/>
          </w:tcPr>
          <w:p w14:paraId="453E6073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37" w:type="dxa"/>
            <w:vAlign w:val="center"/>
          </w:tcPr>
          <w:p w14:paraId="55065BFC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i w:val="0"/>
                <w:iCs w:val="0"/>
                <w:caps w:val="0"/>
                <w:color w:val="auto"/>
                <w:spacing w:val="4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2852" w:type="dxa"/>
            <w:vAlign w:val="center"/>
          </w:tcPr>
          <w:p w14:paraId="5E0C73FE">
            <w:pPr>
              <w:spacing w:line="240" w:lineRule="auto"/>
              <w:jc w:val="center"/>
              <w:rPr>
                <w:rFonts w:hint="default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  <w:t>4支</w:t>
            </w:r>
          </w:p>
        </w:tc>
        <w:tc>
          <w:tcPr>
            <w:tcW w:w="2492" w:type="dxa"/>
            <w:vMerge w:val="continue"/>
            <w:vAlign w:val="center"/>
          </w:tcPr>
          <w:p w14:paraId="459359E4">
            <w:pPr>
              <w:spacing w:line="240" w:lineRule="auto"/>
              <w:jc w:val="center"/>
              <w:rPr>
                <w:rFonts w:hint="eastAsia" w:ascii="幼圆" w:hAnsi="幼圆" w:eastAsia="幼圆" w:cs="幼圆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</w:tbl>
    <w:p w14:paraId="6ABEF277">
      <w:pPr>
        <w:pStyle w:val="15"/>
        <w:numPr>
          <w:ilvl w:val="0"/>
          <w:numId w:val="0"/>
        </w:numPr>
        <w:spacing w:line="240" w:lineRule="auto"/>
        <w:ind w:leftChars="0"/>
        <w:jc w:val="left"/>
        <w:rPr>
          <w:rFonts w:hint="eastAsia" w:ascii="幼圆" w:hAnsi="幼圆" w:eastAsia="幼圆" w:cs="幼圆"/>
          <w:sz w:val="21"/>
          <w:szCs w:val="21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【产品储存及有效期】</w:t>
      </w: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 xml:space="preserve">Onelife 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zh-CN" w:eastAsia="zh-CN" w:bidi="ar"/>
        </w:rPr>
        <w:t>测序</w:t>
      </w: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标准品</w:t>
      </w:r>
      <w:r>
        <w:rPr>
          <w:rFonts w:hint="eastAsia" w:ascii="幼圆" w:hAnsi="幼圆" w:eastAsia="幼圆" w:cs="幼圆"/>
          <w:sz w:val="21"/>
          <w:szCs w:val="21"/>
        </w:rPr>
        <w:t>应在</w:t>
      </w:r>
      <w:bookmarkStart w:id="0" w:name="_Hlk38893354"/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>-25</w:t>
      </w:r>
      <w:r>
        <w:rPr>
          <w:rFonts w:hint="eastAsia" w:ascii="Times New Roman" w:hAnsi="Times New Roman" w:eastAsia="幼圆" w:cs="Times New Roman"/>
          <w:b w:val="0"/>
          <w:bCs w:val="0"/>
          <w:sz w:val="21"/>
          <w:szCs w:val="21"/>
          <w:lang w:val="en-US" w:eastAsia="zh-CN"/>
        </w:rPr>
        <w:t xml:space="preserve">~ </w:t>
      </w:r>
      <w:r>
        <w:rPr>
          <w:rFonts w:hint="eastAsia" w:ascii="幼圆" w:hAnsi="幼圆" w:eastAsia="幼圆" w:cs="幼圆"/>
          <w:b w:val="0"/>
          <w:bCs w:val="0"/>
          <w:sz w:val="21"/>
          <w:szCs w:val="21"/>
          <w:lang w:val="en-US" w:eastAsia="zh-CN"/>
        </w:rPr>
        <w:t>-15</w:t>
      </w:r>
      <w:r>
        <w:rPr>
          <w:rFonts w:hint="eastAsia" w:ascii="幼圆" w:hAnsi="幼圆" w:eastAsia="幼圆" w:cs="幼圆"/>
          <w:sz w:val="21"/>
          <w:szCs w:val="21"/>
        </w:rPr>
        <w:t>℃</w:t>
      </w: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>避光</w:t>
      </w:r>
      <w:r>
        <w:rPr>
          <w:rFonts w:hint="eastAsia" w:ascii="幼圆" w:hAnsi="幼圆" w:eastAsia="幼圆" w:cs="幼圆"/>
          <w:sz w:val="21"/>
          <w:szCs w:val="21"/>
        </w:rPr>
        <w:t>冷</w:t>
      </w: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>冻</w:t>
      </w:r>
      <w:r>
        <w:rPr>
          <w:rFonts w:hint="eastAsia" w:ascii="幼圆" w:hAnsi="幼圆" w:eastAsia="幼圆" w:cs="幼圆"/>
          <w:sz w:val="21"/>
          <w:szCs w:val="21"/>
        </w:rPr>
        <w:t>保存。产品有效期</w:t>
      </w:r>
      <w:r>
        <w:rPr>
          <w:rFonts w:hint="eastAsia" w:ascii="幼圆" w:hAnsi="幼圆" w:eastAsia="幼圆" w:cs="幼圆"/>
          <w:sz w:val="21"/>
          <w:szCs w:val="21"/>
          <w:lang w:val="en-US" w:eastAsia="zh-CN"/>
        </w:rPr>
        <w:t>为24个月</w:t>
      </w:r>
      <w:r>
        <w:rPr>
          <w:rFonts w:hint="eastAsia" w:ascii="幼圆" w:hAnsi="幼圆" w:eastAsia="幼圆" w:cs="幼圆"/>
          <w:sz w:val="21"/>
          <w:szCs w:val="21"/>
        </w:rPr>
        <w:t>。</w:t>
      </w:r>
      <w:bookmarkEnd w:id="0"/>
    </w:p>
    <w:p w14:paraId="54EE97C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【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en-US" w:eastAsia="zh-CN" w:bidi="ar"/>
        </w:rPr>
        <w:t>使用方法及注意事项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】</w:t>
      </w:r>
    </w:p>
    <w:p w14:paraId="661CE4CB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短暂离心测序标准品管，将所有组分离心至管底。</w:t>
      </w:r>
    </w:p>
    <w:p w14:paraId="0BA3B865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每一管加入250μL的甲酰胺重悬。</w:t>
      </w:r>
    </w:p>
    <w:p w14:paraId="545FABD1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拧紧管盖，置于旋涡仪上全速涡旋1分钟，然后短暂离心至管底。</w:t>
      </w:r>
    </w:p>
    <w:p w14:paraId="1DA328EF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将管子在95℃下加热2分钟使其变性，然后迅速转移至 4°C 或冰上放置2分钟。</w:t>
      </w:r>
    </w:p>
    <w:p w14:paraId="45BC19E1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取10uL变性的标准品分装到96孔板对应的孔位中。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40"/>
        <w:gridCol w:w="3640"/>
      </w:tblGrid>
      <w:tr w14:paraId="160AD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3640" w:type="dxa"/>
            <w:shd w:val="clear" w:color="auto" w:fill="D7D7D7" w:themeFill="background1" w:themeFillShade="D8"/>
            <w:vAlign w:val="center"/>
          </w:tcPr>
          <w:p w14:paraId="641DA1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b/>
                <w:bCs/>
                <w:color w:val="000000" w:themeColor="text1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 w:themeColor="text1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毛细管规格</w:t>
            </w:r>
          </w:p>
        </w:tc>
        <w:tc>
          <w:tcPr>
            <w:tcW w:w="3640" w:type="dxa"/>
            <w:shd w:val="clear" w:color="auto" w:fill="D7D7D7" w:themeFill="background1" w:themeFillShade="D8"/>
            <w:vAlign w:val="center"/>
          </w:tcPr>
          <w:p w14:paraId="33BA1C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b/>
                <w:bCs/>
                <w:color w:val="000000" w:themeColor="text1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幼圆" w:hAnsi="幼圆" w:eastAsia="幼圆" w:cs="幼圆"/>
                <w:b/>
                <w:bCs/>
                <w:color w:val="000000" w:themeColor="text1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96孔板孔位</w:t>
            </w:r>
          </w:p>
        </w:tc>
      </w:tr>
      <w:tr w14:paraId="4C69D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3640" w:type="dxa"/>
            <w:vAlign w:val="center"/>
          </w:tcPr>
          <w:p w14:paraId="116E26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4道毛细管</w:t>
            </w:r>
          </w:p>
        </w:tc>
        <w:tc>
          <w:tcPr>
            <w:tcW w:w="3640" w:type="dxa"/>
            <w:vAlign w:val="center"/>
          </w:tcPr>
          <w:p w14:paraId="481E5C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A1-D1</w:t>
            </w:r>
          </w:p>
        </w:tc>
      </w:tr>
      <w:tr w14:paraId="2C8B6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3640" w:type="dxa"/>
            <w:vAlign w:val="center"/>
          </w:tcPr>
          <w:p w14:paraId="3E797A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8道毛细管</w:t>
            </w:r>
          </w:p>
        </w:tc>
        <w:tc>
          <w:tcPr>
            <w:tcW w:w="3640" w:type="dxa"/>
            <w:vAlign w:val="center"/>
          </w:tcPr>
          <w:p w14:paraId="397EAD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A1-H1</w:t>
            </w:r>
          </w:p>
        </w:tc>
      </w:tr>
      <w:tr w14:paraId="03304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3640" w:type="dxa"/>
            <w:vAlign w:val="center"/>
          </w:tcPr>
          <w:p w14:paraId="0E0D46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24到毛细管</w:t>
            </w:r>
          </w:p>
        </w:tc>
        <w:tc>
          <w:tcPr>
            <w:tcW w:w="3640" w:type="dxa"/>
            <w:vAlign w:val="center"/>
          </w:tcPr>
          <w:p w14:paraId="1A6B33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0" w:lineRule="atLeast"/>
              <w:ind w:right="0" w:rightChars="0"/>
              <w:jc w:val="center"/>
              <w:textAlignment w:val="auto"/>
              <w:rPr>
                <w:rFonts w:hint="default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幼圆" w:hAnsi="幼圆" w:eastAsia="幼圆" w:cs="幼圆"/>
                <w:color w:val="auto"/>
                <w:spacing w:val="5"/>
                <w:w w:val="100"/>
                <w:kern w:val="28"/>
                <w:sz w:val="21"/>
                <w:szCs w:val="21"/>
                <w:vertAlign w:val="baseline"/>
                <w:lang w:val="en-US" w:eastAsia="zh-CN" w:bidi="ar"/>
              </w:rPr>
              <w:t>A1-H3</w:t>
            </w:r>
          </w:p>
        </w:tc>
      </w:tr>
    </w:tbl>
    <w:p w14:paraId="294D049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Chars="0" w:right="0" w:right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</w:p>
    <w:p w14:paraId="77EB234B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将96孔板离心，确保各个孔位中的标准品溶液离心至孔底，并且无气泡。</w:t>
      </w:r>
    </w:p>
    <w:p w14:paraId="24C0303C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="425" w:leftChars="0" w:right="0" w:rightChars="0" w:hanging="425" w:firstLineChars="0"/>
        <w:jc w:val="both"/>
        <w:textAlignment w:val="auto"/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auto"/>
          <w:spacing w:val="5"/>
          <w:w w:val="100"/>
          <w:kern w:val="28"/>
          <w:sz w:val="21"/>
          <w:szCs w:val="21"/>
          <w:lang w:val="en-US" w:eastAsia="zh-CN" w:bidi="ar"/>
        </w:rPr>
        <w:t>使用96孔胶垫覆盖反应板，安装上机运行反应程序。</w:t>
      </w:r>
    </w:p>
    <w:p w14:paraId="3EFF530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Chars="0" w:right="0" w:rightChars="0"/>
        <w:jc w:val="both"/>
        <w:textAlignment w:val="auto"/>
        <w:rPr>
          <w:rFonts w:hint="eastAsia" w:ascii="幼圆" w:hAnsi="幼圆" w:eastAsia="幼圆" w:cs="幼圆"/>
        </w:rPr>
      </w:pPr>
    </w:p>
    <w:p w14:paraId="64076B8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0" w:lineRule="atLeast"/>
        <w:ind w:leftChars="0" w:right="0" w:rightChars="0"/>
        <w:jc w:val="both"/>
        <w:textAlignment w:val="auto"/>
        <w:rPr>
          <w:rFonts w:hint="eastAsia" w:ascii="幼圆" w:hAnsi="幼圆" w:eastAsia="幼圆" w:cs="幼圆"/>
          <w:lang w:eastAsia="zh-CN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【</w:t>
      </w:r>
      <w:r>
        <w:rPr>
          <w:rFonts w:hint="eastAsia" w:ascii="幼圆" w:hAnsi="幼圆" w:eastAsia="幼圆" w:cs="幼圆"/>
        </w:rPr>
        <w:t>测序标准DNA模板序列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】</w:t>
      </w:r>
      <w:r>
        <w:rPr>
          <w:rFonts w:hint="eastAsia" w:ascii="幼圆" w:hAnsi="幼圆" w:eastAsia="幼圆" w:cs="幼圆"/>
        </w:rPr>
        <w:t>1</w:t>
      </w:r>
      <w:r>
        <w:rPr>
          <w:rFonts w:hint="eastAsia" w:ascii="幼圆" w:hAnsi="幼圆" w:eastAsia="幼圆" w:cs="幼圆"/>
          <w:lang w:val="en-US" w:eastAsia="zh-CN"/>
        </w:rPr>
        <w:t>394</w:t>
      </w:r>
      <w:r>
        <w:rPr>
          <w:rFonts w:hint="eastAsia" w:ascii="幼圆" w:hAnsi="幼圆" w:eastAsia="幼圆" w:cs="幼圆"/>
        </w:rPr>
        <w:t>个碱基</w:t>
      </w:r>
      <w:r>
        <w:rPr>
          <w:rFonts w:hint="eastAsia" w:ascii="幼圆" w:hAnsi="幼圆" w:eastAsia="幼圆" w:cs="幼圆"/>
          <w:lang w:val="en-US" w:eastAsia="zh-CN"/>
        </w:rPr>
        <w:t>序列</w:t>
      </w:r>
      <w:r>
        <w:rPr>
          <w:rFonts w:hint="eastAsia" w:ascii="幼圆" w:hAnsi="幼圆" w:eastAsia="幼圆" w:cs="幼圆"/>
          <w:lang w:eastAsia="zh-CN"/>
        </w:rPr>
        <w:t>：</w:t>
      </w:r>
    </w:p>
    <w:p w14:paraId="0A25CE08">
      <w:pPr>
        <w:rPr>
          <w:rFonts w:hint="eastAsia" w:ascii="幼圆" w:hAnsi="幼圆" w:eastAsia="幼圆" w:cs="幼圆"/>
          <w:sz w:val="21"/>
          <w:szCs w:val="21"/>
          <w:lang w:eastAsia="zh-CN"/>
        </w:rPr>
      </w:pPr>
      <w:r>
        <w:rPr>
          <w:rFonts w:hint="eastAsia" w:ascii="幼圆" w:hAnsi="幼圆" w:eastAsia="幼圆" w:cs="幼圆"/>
          <w:color w:val="000000"/>
          <w:kern w:val="0"/>
          <w:sz w:val="21"/>
          <w:szCs w:val="21"/>
          <w:lang w:val="en-US" w:eastAsia="zh-CN" w:bidi="ar"/>
        </w:rPr>
        <w:t>GAATTGTAATACGACTCACTATAGGGCGAATTCGAGCTCGGTACCCGGGGATCCTCTAGAGTCGACCTGCAGGCATGCAAGCTTGAGTATTCTATAGTGTCACCTAAATAGCTTGGCGTAATCATGGTCATAGCTGTTTCCTGTGTGAAATTGTTATCCGCTCACAATTCCACACAACATACGAGCCGGAAGCATAAAGTGTAAAGCCTGGGGTGCCTAATGAGTGAGCTAACTCACATTAATTGCGTTGCGCTCACTGCCCGCTTTCCAGTCGGGAAACCTGTCGTGCCAGCTGCATTAATGAATCGGCCAACGCGCGGGGAGAGGCGGTTTGCGTATTGGGCGCTCTTCCGCTTCCTCGCTCACTGACTCGCTGCGCTCGGTCGTTCGGCTGCGGCGAGCGGTATCAGCTCACTCAAAGGCGGTAATACGGTTATCCACAGAATCAGGGGATAACGCAGGAAAGAACATGTGAGCAAAAGGCCAGCAAAAGGCCAGGAACCGTAAAAAGGCCGCGTTGCTGGCGTTTTTCCATAGGCTCCGCCCCCCTGACGAGCATCACAAAAATCGACGCTCAAGTCAGAGGTGGCGAAACCCGACAGGACTATAAAGATACCAGGCGTTTCCCCCTGGAAGCTCCCTCGTGCGCTCTCCTGTTCCGACCCTGCCGCTTACCGGATACCTGTCCGCCTTTCTCCCTTCGGGAAGCGTGGCGCTTTCTCATAGCTCACGCTGTAGGTATCTCAGTTCGGTGTAGGTCGTTCGCTCCAAGCTGGGCTGTGTGCACGAACCCCCCGTTCAGCCCGACCGCTGCGCCTTATCCGGTAACTATCGTCTTGAGTCCAACCCGGTAAGACACGACTTATCGCCACTGGCAGCAGCCACTGGTAACAGGATTAGCAGAGCGAGGTATGTAGGCGGTGCTACAGAGTTCTTGAAGTGGTGGCCTAACTACGGCTACACTAGAAGAACAGTATTTGGTATCTGCGCTCTGCTGAAGCCAGTTACCTTCGGAAAAAGAGTTGGTAGCTCTTGATCCGGCAAACAAACCACCGCTGGTAGCGGTGGTTTTTTTGTTTGCAAGCAGCAGATTACGCGCAGAAAAAAAGGATCTCAAGAAGATCCTTTGATCTTTTCTACGGGGTCTGACGCTCAGTGGAACGAAAACTCACGTTAAGGGATTTTGGTCATGAGATTATCAAAAAGGATCTTCACCTAGATCCTTTTAAATTAAAAATGAAGTTTTAAATCAATCTAAAGTATATATGAGTAAACTTGGTCTGACAGTTACCAATGCTTAATCAGTGAGGCACCTATCTCAGCGATCTGTCTATTTCGTTCATCCATAGTTGCCTGACTCCCCGTCGTGTAGATAACTACGATACGGGAGGGCT</w:t>
      </w:r>
    </w:p>
    <w:p w14:paraId="24764621">
      <w:pP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</w:pPr>
    </w:p>
    <w:p w14:paraId="1043A998">
      <w:pPr>
        <w:rPr>
          <w:rFonts w:hint="eastAsia" w:ascii="幼圆" w:hAnsi="幼圆" w:eastAsia="幼圆" w:cs="幼圆"/>
          <w:sz w:val="21"/>
          <w:szCs w:val="21"/>
          <w:lang w:val="zh-CN" w:eastAsia="zh-CN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【生产日期】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en-US" w:eastAsia="zh-CN" w:bidi="ar"/>
        </w:rPr>
        <w:t xml:space="preserve">  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见包装纸盒或瓶身贴的标签</w:t>
      </w:r>
    </w:p>
    <w:p w14:paraId="273E640A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幼圆" w:hAnsi="宋体" w:eastAsia="幼圆" w:cs="宋体"/>
          <w:sz w:val="21"/>
          <w:szCs w:val="21"/>
        </w:rPr>
      </w:pPr>
      <w:r>
        <w:rPr>
          <w:rFonts w:hint="eastAsia" w:ascii="幼圆" w:hAnsi="宋体" w:eastAsia="幼圆" w:cs="宋体"/>
          <w:sz w:val="21"/>
          <w:szCs w:val="21"/>
        </w:rPr>
        <w:t>【企业信息】</w:t>
      </w:r>
      <w:r>
        <w:rPr>
          <w:rFonts w:hint="eastAsia" w:ascii="幼圆" w:hAnsi="宋体" w:eastAsia="幼圆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幼圆" w:hAnsi="宋体" w:eastAsia="幼圆" w:cs="宋体"/>
          <w:sz w:val="21"/>
          <w:szCs w:val="21"/>
        </w:rPr>
        <w:t xml:space="preserve">万莱福生物技术（深圳）有限责任公司 </w:t>
      </w:r>
    </w:p>
    <w:p w14:paraId="1D2AE9F3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470" w:firstLineChars="700"/>
        <w:jc w:val="left"/>
        <w:textAlignment w:val="auto"/>
        <w:rPr>
          <w:rFonts w:hint="eastAsia" w:ascii="幼圆" w:hAnsi="幼圆" w:eastAsia="幼圆" w:cs="幼圆"/>
          <w:color w:val="000000"/>
          <w:w w:val="100"/>
          <w:kern w:val="1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000000"/>
          <w:w w:val="100"/>
          <w:kern w:val="1"/>
          <w:sz w:val="21"/>
          <w:szCs w:val="21"/>
          <w:lang w:val="zh-CN" w:eastAsia="zh-CN" w:bidi="ar"/>
        </w:rPr>
        <w:t>广东省深圳市</w:t>
      </w:r>
      <w:r>
        <w:rPr>
          <w:rFonts w:hint="eastAsia" w:ascii="幼圆" w:hAnsi="幼圆" w:eastAsia="幼圆" w:cs="幼圆"/>
          <w:color w:val="000000"/>
          <w:w w:val="100"/>
          <w:kern w:val="1"/>
          <w:sz w:val="21"/>
          <w:szCs w:val="21"/>
          <w:lang w:val="en-US" w:eastAsia="zh-CN" w:bidi="ar"/>
        </w:rPr>
        <w:t>大鹏新区金业大道140号生命科学产业园A11栋</w:t>
      </w:r>
    </w:p>
    <w:p w14:paraId="63646B55">
      <w:pPr>
        <w:keepNext w:val="0"/>
        <w:keepLines w:val="0"/>
        <w:widowControl w:val="0"/>
        <w:suppressLineNumbers w:val="0"/>
        <w:spacing w:before="0" w:beforeAutospacing="0" w:after="0" w:afterAutospacing="0" w:line="273" w:lineRule="auto"/>
        <w:ind w:right="0"/>
        <w:jc w:val="both"/>
        <w:rPr>
          <w:rFonts w:hint="default" w:ascii="幼圆" w:hAnsi="幼圆" w:eastAsia="幼圆" w:cs="幼圆"/>
          <w:color w:val="000000"/>
          <w:w w:val="100"/>
          <w:kern w:val="1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【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en-US" w:eastAsia="zh-CN" w:bidi="ar"/>
        </w:rPr>
        <w:t>售后服务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zh-CN" w:eastAsia="zh-CN" w:bidi="ar"/>
        </w:rPr>
        <w:t>】</w:t>
      </w:r>
      <w:r>
        <w:rPr>
          <w:rFonts w:hint="eastAsia" w:ascii="幼圆" w:hAnsi="幼圆" w:eastAsia="幼圆" w:cs="幼圆"/>
          <w:color w:val="000000"/>
          <w:w w:val="100"/>
          <w:kern w:val="28"/>
          <w:sz w:val="21"/>
          <w:szCs w:val="21"/>
          <w:lang w:val="en-US" w:eastAsia="zh-CN" w:bidi="ar"/>
        </w:rPr>
        <w:t xml:space="preserve">  400-808-3500 转 2</w:t>
      </w:r>
    </w:p>
    <w:p w14:paraId="76A7ABB7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幼圆" w:hAnsi="宋体" w:eastAsia="幼圆" w:cs="宋体"/>
          <w:sz w:val="21"/>
          <w:szCs w:val="21"/>
          <w:lang w:val="en-US" w:eastAsia="zh-CN"/>
        </w:rPr>
      </w:pPr>
      <w:r>
        <w:rPr>
          <w:rFonts w:hint="eastAsia" w:ascii="幼圆" w:hAnsi="宋体" w:eastAsia="幼圆" w:cs="宋体"/>
          <w:sz w:val="21"/>
          <w:szCs w:val="21"/>
        </w:rPr>
        <w:t xml:space="preserve">【说明书编制日期】 </w:t>
      </w:r>
      <w:r>
        <w:rPr>
          <w:rFonts w:hint="eastAsia" w:ascii="幼圆" w:hAnsi="宋体" w:eastAsia="幼圆" w:cs="宋体"/>
          <w:sz w:val="21"/>
          <w:szCs w:val="21"/>
          <w:lang w:val="en-US" w:eastAsia="zh-CN"/>
        </w:rPr>
        <w:t>2025</w:t>
      </w:r>
      <w:r>
        <w:rPr>
          <w:rFonts w:hint="eastAsia" w:ascii="幼圆" w:hAnsi="宋体" w:eastAsia="幼圆" w:cs="宋体"/>
          <w:sz w:val="21"/>
          <w:szCs w:val="21"/>
        </w:rPr>
        <w:t>年</w:t>
      </w:r>
      <w:r>
        <w:rPr>
          <w:rFonts w:hint="eastAsia" w:ascii="幼圆" w:hAnsi="宋体" w:eastAsia="幼圆" w:cs="宋体"/>
          <w:sz w:val="21"/>
          <w:szCs w:val="21"/>
          <w:lang w:val="en-US" w:eastAsia="zh-CN"/>
        </w:rPr>
        <w:t>5</w:t>
      </w:r>
      <w:r>
        <w:rPr>
          <w:rFonts w:hint="eastAsia" w:ascii="幼圆" w:hAnsi="宋体" w:eastAsia="幼圆" w:cs="宋体"/>
          <w:sz w:val="21"/>
          <w:szCs w:val="21"/>
        </w:rPr>
        <w:t>月</w:t>
      </w:r>
      <w:r>
        <w:rPr>
          <w:rFonts w:hint="eastAsia" w:ascii="幼圆" w:hAnsi="宋体" w:eastAsia="幼圆" w:cs="宋体"/>
          <w:sz w:val="21"/>
          <w:szCs w:val="21"/>
          <w:lang w:val="en-US" w:eastAsia="zh-CN"/>
        </w:rPr>
        <w:t xml:space="preserve"> V1.0</w:t>
      </w:r>
    </w:p>
    <w:p w14:paraId="147C868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0"/>
        <w:jc w:val="both"/>
        <w:rPr>
          <w:rFonts w:hint="eastAsia" w:ascii="幼圆" w:hAnsi="幼圆" w:eastAsia="幼圆" w:cs="幼圆"/>
          <w:sz w:val="18"/>
          <w:szCs w:val="18"/>
          <w:lang w:val="zh-CN" w:eastAsia="zh-CN"/>
        </w:rPr>
      </w:pPr>
      <w:r>
        <w:rPr>
          <w:rFonts w:hint="eastAsia" w:ascii="幼圆" w:hAnsi="幼圆" w:eastAsia="幼圆" w:cs="幼圆"/>
          <w:b/>
          <w:bCs/>
          <w:color w:val="000000"/>
          <w:w w:val="100"/>
          <w:kern w:val="1"/>
          <w:sz w:val="18"/>
          <w:szCs w:val="18"/>
          <w:lang w:val="zh-CN" w:eastAsia="zh-CN" w:bidi="ar"/>
        </w:rPr>
        <w:t>危害防护标识</w:t>
      </w:r>
      <w:r>
        <w:rPr>
          <w:rFonts w:hint="eastAsia" w:ascii="幼圆" w:hAnsi="幼圆" w:eastAsia="幼圆" w:cs="幼圆"/>
          <w:b/>
          <w:bCs/>
          <w:color w:val="000000"/>
          <w:w w:val="100"/>
          <w:kern w:val="2"/>
          <w:sz w:val="18"/>
          <w:szCs w:val="18"/>
          <w:lang w:val="zh-CN" w:eastAsia="zh-CN" w:bidi="ar"/>
        </w:rPr>
        <w:t>及危险说明：</w:t>
      </w:r>
    </w:p>
    <w:p w14:paraId="37358DB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0"/>
        <w:jc w:val="both"/>
        <w:rPr>
          <w:rFonts w:hint="eastAsia" w:ascii="宋体" w:hAnsi="宋体" w:eastAsia="宋体" w:cs="宋体"/>
          <w:color w:val="000000"/>
          <w:w w:val="100"/>
          <w:kern w:val="28"/>
          <w:sz w:val="21"/>
          <w:szCs w:val="21"/>
          <w:lang w:val="en-US" w:eastAsia="zh-CN" w:bidi="ar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18"/>
          <w:szCs w:val="18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170815</wp:posOffset>
            </wp:positionV>
            <wp:extent cx="864870" cy="854075"/>
            <wp:effectExtent l="0" t="0" r="3810" b="14605"/>
            <wp:wrapSquare wrapText="bothSides"/>
            <wp:docPr id="2" name="图片 2" descr="吞噬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吞噬图片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870" cy="85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000000"/>
          <w:w w:val="100"/>
          <w:kern w:val="28"/>
          <w:sz w:val="21"/>
          <w:szCs w:val="21"/>
          <w:lang w:val="en-US" w:eastAsia="zh-CN" w:bidi="ar"/>
        </w:rPr>
        <w:t xml:space="preserve">   </w:t>
      </w:r>
    </w:p>
    <w:p w14:paraId="3874676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540" w:firstLineChars="300"/>
        <w:jc w:val="both"/>
        <w:rPr>
          <w:rFonts w:hint="eastAsia" w:ascii="幼圆" w:hAnsi="幼圆" w:eastAsia="幼圆" w:cs="幼圆"/>
          <w:sz w:val="18"/>
          <w:szCs w:val="18"/>
          <w:lang w:val="zh-CN" w:eastAsia="zh-CN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18"/>
          <w:szCs w:val="18"/>
          <w:lang w:val="en-US" w:eastAsia="zh-CN" w:bidi="ar"/>
        </w:rPr>
        <w:t>H360 - 吞咽可能对生育能力或胎儿造成伤害。</w:t>
      </w:r>
    </w:p>
    <w:p w14:paraId="0C214D29">
      <w:pPr>
        <w:keepNext w:val="0"/>
        <w:keepLines w:val="0"/>
        <w:widowControl w:val="0"/>
        <w:suppressLineNumbers w:val="0"/>
        <w:spacing w:before="0" w:beforeAutospacing="0" w:after="0" w:afterAutospacing="0" w:line="273" w:lineRule="auto"/>
        <w:ind w:left="0" w:right="0" w:firstLine="540" w:firstLineChars="300"/>
        <w:jc w:val="left"/>
        <w:rPr>
          <w:rFonts w:hint="eastAsia" w:ascii="幼圆" w:hAnsi="幼圆" w:eastAsia="幼圆" w:cs="幼圆"/>
          <w:color w:val="000000"/>
          <w:w w:val="100"/>
          <w:kern w:val="28"/>
          <w:sz w:val="18"/>
          <w:szCs w:val="18"/>
          <w:lang w:val="en-US" w:eastAsia="zh-CN" w:bidi="ar"/>
        </w:rPr>
      </w:pPr>
      <w:r>
        <w:rPr>
          <w:rFonts w:hint="eastAsia" w:ascii="幼圆" w:hAnsi="幼圆" w:eastAsia="幼圆" w:cs="幼圆"/>
          <w:color w:val="000000"/>
          <w:w w:val="100"/>
          <w:kern w:val="28"/>
          <w:sz w:val="18"/>
          <w:szCs w:val="18"/>
          <w:lang w:val="en-US" w:eastAsia="zh-CN" w:bidi="ar"/>
        </w:rPr>
        <w:t>H351 - 吞咽怀疑会致癌。</w:t>
      </w:r>
    </w:p>
    <w:p w14:paraId="34AAE0F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20" w:firstLineChars="200"/>
        <w:jc w:val="both"/>
        <w:rPr>
          <w:rFonts w:hint="eastAsia" w:ascii="幼圆" w:hAnsi="幼圆" w:eastAsia="幼圆" w:cs="幼圆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w w:val="100"/>
          <w:kern w:val="28"/>
          <w:sz w:val="21"/>
          <w:szCs w:val="21"/>
          <w:lang w:val="en-US" w:eastAsia="zh-CN" w:bidi="ar"/>
        </w:rPr>
        <w:t> </w:t>
      </w:r>
      <w:r>
        <w:rPr>
          <w:rFonts w:hint="eastAsia" w:ascii="幼圆" w:hAnsi="幼圆" w:eastAsia="幼圆" w:cs="幼圆"/>
          <w:b/>
          <w:bCs/>
          <w:color w:val="000000"/>
          <w:w w:val="100"/>
          <w:kern w:val="28"/>
          <w:sz w:val="18"/>
          <w:szCs w:val="18"/>
          <w:lang w:val="zh-CN" w:eastAsia="zh-CN" w:bidi="ar"/>
        </w:rPr>
        <w:t>危险物质安全控制法：未列入</w:t>
      </w:r>
    </w:p>
    <w:sectPr>
      <w:headerReference r:id="rId3" w:type="default"/>
      <w:footerReference r:id="rId4" w:type="default"/>
      <w:pgSz w:w="11906" w:h="16838"/>
      <w:pgMar w:top="720" w:right="720" w:bottom="720" w:left="720" w:header="567" w:footer="22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INPro-Medium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INPro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INPro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INPro-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PalatinoLinotype-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PalatinoLinotype-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8160AB">
    <w:pPr>
      <w:pStyle w:val="3"/>
      <w:rPr>
        <w:rFonts w:ascii="Times New Roman" w:hAnsi="Times New Roman" w:eastAsia="幼圆" w:cs="Times New Roman"/>
        <w:b/>
        <w:bCs/>
      </w:rPr>
    </w:pPr>
    <w:r>
      <w:rPr>
        <w:rFonts w:ascii="Times New Roman" w:hAnsi="Times New Roman" w:eastAsia="幼圆" w:cs="Times New Roman"/>
        <w:b/>
        <w:bCs/>
      </w:rPr>
      <w:t>For Research Use Only. Not for use in diagnostic procedures</w:t>
    </w:r>
    <w:r>
      <w:rPr>
        <w:rFonts w:hint="eastAsia" w:ascii="Times New Roman" w:hAnsi="Times New Roman" w:eastAsia="幼圆" w:cs="Times New Roman"/>
        <w:b/>
        <w:bCs/>
        <w:lang w:val="en-US" w:eastAsia="zh-CN"/>
      </w:rPr>
      <w:t xml:space="preserve">                          </w:t>
    </w:r>
    <w:r>
      <w:rPr>
        <w:rFonts w:hint="eastAsia" w:ascii="Times New Roman" w:hAnsi="Times New Roman" w:eastAsia="幼圆" w:cs="Times New Roman"/>
        <w:b/>
        <w:bCs/>
      </w:rPr>
      <w:fldChar w:fldCharType="begin"/>
    </w:r>
    <w:r>
      <w:rPr>
        <w:rFonts w:hint="eastAsia" w:ascii="Times New Roman" w:hAnsi="Times New Roman" w:eastAsia="幼圆" w:cs="Times New Roman"/>
        <w:b/>
        <w:bCs/>
      </w:rPr>
      <w:instrText xml:space="preserve"> HYPERLINK "http://www.onelifegene.com" </w:instrText>
    </w:r>
    <w:r>
      <w:rPr>
        <w:rFonts w:hint="eastAsia" w:ascii="Times New Roman" w:hAnsi="Times New Roman" w:eastAsia="幼圆" w:cs="Times New Roman"/>
        <w:b/>
        <w:bCs/>
      </w:rPr>
      <w:fldChar w:fldCharType="separate"/>
    </w:r>
    <w:r>
      <w:rPr>
        <w:rStyle w:val="10"/>
        <w:rFonts w:hint="eastAsia" w:ascii="Times New Roman" w:hAnsi="Times New Roman" w:eastAsia="幼圆" w:cs="Times New Roman"/>
        <w:b/>
        <w:bCs/>
      </w:rPr>
      <w:t>http://www.onelifegene.com</w:t>
    </w:r>
    <w:r>
      <w:rPr>
        <w:rFonts w:hint="eastAsia" w:ascii="Times New Roman" w:hAnsi="Times New Roman" w:eastAsia="幼圆" w:cs="Times New Roman"/>
        <w:b/>
        <w:bCs/>
      </w:rPr>
      <w:fldChar w:fldCharType="end"/>
    </w:r>
    <w:r>
      <w:rPr>
        <w:rFonts w:ascii="Times New Roman" w:hAnsi="Times New Roman" w:eastAsia="幼圆" w:cs="Times New Roman"/>
        <w:b/>
        <w:bCs/>
      </w:rPr>
      <w:tab/>
    </w:r>
  </w:p>
  <w:p w14:paraId="629FE6EF">
    <w:pPr>
      <w:pStyle w:val="3"/>
      <w:ind w:firstLine="723" w:firstLineChars="400"/>
      <w:rPr>
        <w:rFonts w:ascii="Times New Roman" w:hAnsi="Times New Roman" w:eastAsia="幼圆" w:cs="Times New Roman"/>
        <w:b/>
        <w:bCs/>
      </w:rPr>
    </w:pPr>
    <w:r>
      <w:rPr>
        <w:rFonts w:ascii="Times New Roman" w:hAnsi="Times New Roman" w:eastAsia="幼圆" w:cs="Times New Roman"/>
        <w:b/>
        <w:bCs/>
      </w:rPr>
      <w:t>仅供研究使用。不用于诊断程序</w:t>
    </w:r>
    <w:r>
      <w:rPr>
        <w:rFonts w:hint="eastAsia" w:ascii="Times New Roman" w:hAnsi="Times New Roman" w:eastAsia="幼圆" w:cs="Times New Roman"/>
        <w:b/>
        <w:bCs/>
      </w:rPr>
      <w:t xml:space="preserve"> </w:t>
    </w:r>
    <w:r>
      <w:rPr>
        <w:rFonts w:ascii="Times New Roman" w:hAnsi="Times New Roman" w:eastAsia="幼圆" w:cs="Times New Roman"/>
        <w:b/>
        <w:bCs/>
      </w:rPr>
      <w:t xml:space="preserve">                                 万莱福生物技术（深圳）有限责任公司出品</w:t>
    </w:r>
  </w:p>
  <w:p w14:paraId="2B8964C7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963B6">
    <w:pPr>
      <w:pStyle w:val="4"/>
      <w:pBdr>
        <w:bottom w:val="single" w:color="auto" w:sz="6" w:space="0"/>
      </w:pBdr>
      <w:jc w:val="left"/>
      <w:rPr>
        <w:rFonts w:hint="default" w:ascii="幼圆" w:hAnsi="微软雅黑" w:eastAsia="幼圆"/>
        <w:b/>
        <w:bCs/>
        <w:sz w:val="44"/>
        <w:szCs w:val="44"/>
        <w:lang w:val="en-US" w:eastAsia="zh-CN"/>
      </w:rPr>
    </w:pPr>
    <w:r>
      <w:rPr>
        <w:rFonts w:hint="eastAsia" w:ascii="幼圆" w:hAnsi="微软雅黑" w:eastAsia="幼圆"/>
        <w:sz w:val="44"/>
        <w:szCs w:val="44"/>
      </w:rPr>
      <w:drawing>
        <wp:inline distT="0" distB="0" distL="0" distR="0">
          <wp:extent cx="1604645" cy="472440"/>
          <wp:effectExtent l="0" t="0" r="14605" b="3810"/>
          <wp:docPr id="7" name="图片 7" descr="G:\万莱福\logo\LOGO带R标-20220508\LOGO带R标.pngLOGO带R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G:\万莱福\logo\LOGO带R标-20220508\LOGO带R标.pngLOGO带R标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4645" cy="47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幼圆" w:hAnsi="微软雅黑" w:eastAsia="幼圆"/>
        <w:sz w:val="30"/>
        <w:szCs w:val="30"/>
      </w:rPr>
      <w:t xml:space="preserve">       </w:t>
    </w:r>
    <w:r>
      <w:rPr>
        <w:rFonts w:ascii="Times New Roman" w:hAnsi="Times New Roman" w:eastAsia="幼圆" w:cs="Times New Roman"/>
        <w:b/>
        <w:bCs/>
        <w:sz w:val="36"/>
        <w:szCs w:val="36"/>
      </w:rPr>
      <w:t>PRODUCT INFORMATION SHEET</w:t>
    </w:r>
    <w:r>
      <w:rPr>
        <w:rFonts w:hint="eastAsia" w:ascii="Times New Roman" w:hAnsi="Times New Roman" w:eastAsia="幼圆" w:cs="Times New Roman"/>
        <w:b/>
        <w:bCs/>
        <w:sz w:val="36"/>
        <w:szCs w:val="36"/>
        <w:lang w:val="en-US" w:eastAsia="zh-CN"/>
      </w:rPr>
      <w:t xml:space="preserve">  V1.0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B3511"/>
    <w:multiLevelType w:val="singleLevel"/>
    <w:tmpl w:val="39DB35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幼圆" w:hAnsi="幼圆" w:eastAsia="幼圆" w:cs="幼圆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NTMxZmU2ZmU0MGMxNjJmODYzMWQwYWY4NzUzMWEifQ=="/>
  </w:docVars>
  <w:rsids>
    <w:rsidRoot w:val="00C94CCD"/>
    <w:rsid w:val="00012E55"/>
    <w:rsid w:val="00013EF7"/>
    <w:rsid w:val="000273D3"/>
    <w:rsid w:val="000437E8"/>
    <w:rsid w:val="00044F69"/>
    <w:rsid w:val="000C65F9"/>
    <w:rsid w:val="000D777C"/>
    <w:rsid w:val="000F2AAA"/>
    <w:rsid w:val="00117FD5"/>
    <w:rsid w:val="0013196B"/>
    <w:rsid w:val="001442B0"/>
    <w:rsid w:val="0017578E"/>
    <w:rsid w:val="00183002"/>
    <w:rsid w:val="001A10E5"/>
    <w:rsid w:val="001D20E0"/>
    <w:rsid w:val="001E0FD4"/>
    <w:rsid w:val="001E56C3"/>
    <w:rsid w:val="00211151"/>
    <w:rsid w:val="00214A7B"/>
    <w:rsid w:val="002612F5"/>
    <w:rsid w:val="0026386F"/>
    <w:rsid w:val="00263C39"/>
    <w:rsid w:val="002754F2"/>
    <w:rsid w:val="00277AA4"/>
    <w:rsid w:val="002B37F5"/>
    <w:rsid w:val="002C5473"/>
    <w:rsid w:val="002F19C2"/>
    <w:rsid w:val="00320465"/>
    <w:rsid w:val="00330CED"/>
    <w:rsid w:val="00370888"/>
    <w:rsid w:val="0039056F"/>
    <w:rsid w:val="00392545"/>
    <w:rsid w:val="00392A8B"/>
    <w:rsid w:val="00396D0D"/>
    <w:rsid w:val="003A407A"/>
    <w:rsid w:val="003A744A"/>
    <w:rsid w:val="003B2DDE"/>
    <w:rsid w:val="004054C2"/>
    <w:rsid w:val="00433EE6"/>
    <w:rsid w:val="00490F0C"/>
    <w:rsid w:val="004A4497"/>
    <w:rsid w:val="004E526F"/>
    <w:rsid w:val="004F699C"/>
    <w:rsid w:val="00510847"/>
    <w:rsid w:val="00513A5A"/>
    <w:rsid w:val="00520279"/>
    <w:rsid w:val="005402C6"/>
    <w:rsid w:val="00591616"/>
    <w:rsid w:val="005B5EB9"/>
    <w:rsid w:val="005C494F"/>
    <w:rsid w:val="005F2C3A"/>
    <w:rsid w:val="005F4995"/>
    <w:rsid w:val="006312ED"/>
    <w:rsid w:val="0066201B"/>
    <w:rsid w:val="00691CBC"/>
    <w:rsid w:val="006A4202"/>
    <w:rsid w:val="006A502F"/>
    <w:rsid w:val="006B1E37"/>
    <w:rsid w:val="006D626D"/>
    <w:rsid w:val="00710C1F"/>
    <w:rsid w:val="007710EF"/>
    <w:rsid w:val="00771A14"/>
    <w:rsid w:val="007779D2"/>
    <w:rsid w:val="00785201"/>
    <w:rsid w:val="0079242C"/>
    <w:rsid w:val="007A2DEE"/>
    <w:rsid w:val="007D7E7D"/>
    <w:rsid w:val="007E1CAC"/>
    <w:rsid w:val="007F09BA"/>
    <w:rsid w:val="007F283E"/>
    <w:rsid w:val="008034E6"/>
    <w:rsid w:val="00820435"/>
    <w:rsid w:val="008277AF"/>
    <w:rsid w:val="008652F1"/>
    <w:rsid w:val="008B5095"/>
    <w:rsid w:val="008F21FB"/>
    <w:rsid w:val="00901D88"/>
    <w:rsid w:val="00912C74"/>
    <w:rsid w:val="00930821"/>
    <w:rsid w:val="00932DC9"/>
    <w:rsid w:val="00933055"/>
    <w:rsid w:val="00972FF4"/>
    <w:rsid w:val="0097666F"/>
    <w:rsid w:val="009B62DB"/>
    <w:rsid w:val="009C454E"/>
    <w:rsid w:val="009C4DB4"/>
    <w:rsid w:val="009C6A54"/>
    <w:rsid w:val="00A07F80"/>
    <w:rsid w:val="00A22DA4"/>
    <w:rsid w:val="00A3699D"/>
    <w:rsid w:val="00A52656"/>
    <w:rsid w:val="00A76319"/>
    <w:rsid w:val="00A800B1"/>
    <w:rsid w:val="00AB4519"/>
    <w:rsid w:val="00AB66C7"/>
    <w:rsid w:val="00AE7726"/>
    <w:rsid w:val="00B52A04"/>
    <w:rsid w:val="00B627C9"/>
    <w:rsid w:val="00B70C35"/>
    <w:rsid w:val="00B81FA0"/>
    <w:rsid w:val="00B85E03"/>
    <w:rsid w:val="00B9148C"/>
    <w:rsid w:val="00B927B4"/>
    <w:rsid w:val="00BA385C"/>
    <w:rsid w:val="00BF7ED6"/>
    <w:rsid w:val="00C03C00"/>
    <w:rsid w:val="00C23F82"/>
    <w:rsid w:val="00C32A24"/>
    <w:rsid w:val="00C46544"/>
    <w:rsid w:val="00C63E59"/>
    <w:rsid w:val="00C73D8D"/>
    <w:rsid w:val="00C84604"/>
    <w:rsid w:val="00C94CCD"/>
    <w:rsid w:val="00CB21F2"/>
    <w:rsid w:val="00CD1AE9"/>
    <w:rsid w:val="00CE3903"/>
    <w:rsid w:val="00CF0169"/>
    <w:rsid w:val="00D03956"/>
    <w:rsid w:val="00D23AC3"/>
    <w:rsid w:val="00D452FB"/>
    <w:rsid w:val="00D47459"/>
    <w:rsid w:val="00D55E45"/>
    <w:rsid w:val="00D66901"/>
    <w:rsid w:val="00D7537C"/>
    <w:rsid w:val="00D76AC0"/>
    <w:rsid w:val="00DD7AEA"/>
    <w:rsid w:val="00E1514F"/>
    <w:rsid w:val="00E4659A"/>
    <w:rsid w:val="00E83106"/>
    <w:rsid w:val="00E85D69"/>
    <w:rsid w:val="00E963AF"/>
    <w:rsid w:val="00E9684B"/>
    <w:rsid w:val="00EA5AFD"/>
    <w:rsid w:val="00EE37F0"/>
    <w:rsid w:val="00EF6F69"/>
    <w:rsid w:val="00F01F04"/>
    <w:rsid w:val="00F1762A"/>
    <w:rsid w:val="00F35DCF"/>
    <w:rsid w:val="00F7220D"/>
    <w:rsid w:val="00FA0AF9"/>
    <w:rsid w:val="00FA67E1"/>
    <w:rsid w:val="00FB340D"/>
    <w:rsid w:val="00FB61E2"/>
    <w:rsid w:val="00FC3EE2"/>
    <w:rsid w:val="00FF0219"/>
    <w:rsid w:val="00FF4BA3"/>
    <w:rsid w:val="06D456A8"/>
    <w:rsid w:val="12C14EC5"/>
    <w:rsid w:val="14A8078A"/>
    <w:rsid w:val="154474CC"/>
    <w:rsid w:val="1D98768C"/>
    <w:rsid w:val="233D2346"/>
    <w:rsid w:val="244F344A"/>
    <w:rsid w:val="24F904EE"/>
    <w:rsid w:val="256959D7"/>
    <w:rsid w:val="26BC4D5D"/>
    <w:rsid w:val="27705CFD"/>
    <w:rsid w:val="29A9603F"/>
    <w:rsid w:val="2CAA2D56"/>
    <w:rsid w:val="2F065A8C"/>
    <w:rsid w:val="338866DE"/>
    <w:rsid w:val="347C5825"/>
    <w:rsid w:val="380D00E1"/>
    <w:rsid w:val="3D9D52BE"/>
    <w:rsid w:val="3E7E21D0"/>
    <w:rsid w:val="44406453"/>
    <w:rsid w:val="44F172E2"/>
    <w:rsid w:val="4665558C"/>
    <w:rsid w:val="46780DCD"/>
    <w:rsid w:val="47134E1F"/>
    <w:rsid w:val="485B0CC3"/>
    <w:rsid w:val="4AB443EC"/>
    <w:rsid w:val="4CD72DC4"/>
    <w:rsid w:val="4E4453FC"/>
    <w:rsid w:val="4EBF6A58"/>
    <w:rsid w:val="4F1813ED"/>
    <w:rsid w:val="4FFC4BDB"/>
    <w:rsid w:val="53ED0AB4"/>
    <w:rsid w:val="5586710F"/>
    <w:rsid w:val="5692776A"/>
    <w:rsid w:val="56BF4844"/>
    <w:rsid w:val="571F5DB0"/>
    <w:rsid w:val="5A7B597E"/>
    <w:rsid w:val="681900A2"/>
    <w:rsid w:val="69484D59"/>
    <w:rsid w:val="6BB302F3"/>
    <w:rsid w:val="6D0B6B83"/>
    <w:rsid w:val="6F9B2726"/>
    <w:rsid w:val="70524C24"/>
    <w:rsid w:val="71BA7C8A"/>
    <w:rsid w:val="7A8F072B"/>
    <w:rsid w:val="7AF91CA3"/>
    <w:rsid w:val="7EAD228E"/>
    <w:rsid w:val="7F233A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semiHidden/>
    <w:unhideWhenUsed/>
    <w:qFormat/>
    <w:uiPriority w:val="99"/>
    <w:rPr>
      <w:sz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Hyperlink"/>
    <w:basedOn w:val="8"/>
    <w:autoRedefine/>
    <w:semiHidden/>
    <w:unhideWhenUsed/>
    <w:qFormat/>
    <w:uiPriority w:val="99"/>
    <w:rPr>
      <w:color w:val="0000FF"/>
      <w:u w:val="single"/>
    </w:rPr>
  </w:style>
  <w:style w:type="paragraph" w:styleId="11">
    <w:name w:val="No Spacing"/>
    <w:link w:val="12"/>
    <w:autoRedefine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2">
    <w:name w:val="无间隔 Char"/>
    <w:basedOn w:val="8"/>
    <w:link w:val="11"/>
    <w:autoRedefine/>
    <w:qFormat/>
    <w:uiPriority w:val="1"/>
    <w:rPr>
      <w:kern w:val="0"/>
      <w:sz w:val="22"/>
    </w:rPr>
  </w:style>
  <w:style w:type="character" w:customStyle="1" w:styleId="13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4">
    <w:name w:val="页脚 Char"/>
    <w:basedOn w:val="8"/>
    <w:link w:val="3"/>
    <w:autoRedefine/>
    <w:qFormat/>
    <w:uiPriority w:val="99"/>
    <w:rPr>
      <w:sz w:val="18"/>
      <w:szCs w:val="18"/>
    </w:rPr>
  </w:style>
  <w:style w:type="paragraph" w:styleId="15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6">
    <w:name w:val="批注框文本 Char"/>
    <w:basedOn w:val="8"/>
    <w:link w:val="2"/>
    <w:autoRedefine/>
    <w:semiHidden/>
    <w:qFormat/>
    <w:uiPriority w:val="99"/>
    <w:rPr>
      <w:sz w:val="18"/>
      <w:szCs w:val="18"/>
    </w:rPr>
  </w:style>
  <w:style w:type="character" w:customStyle="1" w:styleId="17">
    <w:name w:val="fontstyle01"/>
    <w:basedOn w:val="8"/>
    <w:autoRedefine/>
    <w:qFormat/>
    <w:uiPriority w:val="0"/>
    <w:rPr>
      <w:rFonts w:hint="default" w:ascii="DINPro-Medium" w:hAnsi="DINPro-Medium"/>
      <w:color w:val="000000"/>
      <w:sz w:val="40"/>
      <w:szCs w:val="40"/>
    </w:rPr>
  </w:style>
  <w:style w:type="character" w:customStyle="1" w:styleId="18">
    <w:name w:val="fontstyle21"/>
    <w:basedOn w:val="8"/>
    <w:autoRedefine/>
    <w:qFormat/>
    <w:uiPriority w:val="0"/>
    <w:rPr>
      <w:rFonts w:hint="default" w:ascii="DINPro-Light" w:hAnsi="DINPro-Light"/>
      <w:color w:val="000000"/>
      <w:sz w:val="22"/>
      <w:szCs w:val="22"/>
    </w:rPr>
  </w:style>
  <w:style w:type="character" w:customStyle="1" w:styleId="19">
    <w:name w:val="fontstyle31"/>
    <w:basedOn w:val="8"/>
    <w:autoRedefine/>
    <w:qFormat/>
    <w:uiPriority w:val="0"/>
    <w:rPr>
      <w:rFonts w:hint="default" w:ascii="DINPro-Regular" w:hAnsi="DINPro-Regular"/>
      <w:color w:val="000000"/>
      <w:sz w:val="18"/>
      <w:szCs w:val="18"/>
    </w:rPr>
  </w:style>
  <w:style w:type="character" w:customStyle="1" w:styleId="20">
    <w:name w:val="fontstyle41"/>
    <w:basedOn w:val="8"/>
    <w:autoRedefine/>
    <w:qFormat/>
    <w:uiPriority w:val="0"/>
    <w:rPr>
      <w:rFonts w:hint="default" w:ascii="DINPro-Bold" w:hAnsi="DINPro-Bold"/>
      <w:b/>
      <w:bCs/>
      <w:color w:val="000000"/>
      <w:sz w:val="22"/>
      <w:szCs w:val="22"/>
    </w:rPr>
  </w:style>
  <w:style w:type="character" w:customStyle="1" w:styleId="21">
    <w:name w:val="fontstyle51"/>
    <w:basedOn w:val="8"/>
    <w:autoRedefine/>
    <w:qFormat/>
    <w:uiPriority w:val="0"/>
    <w:rPr>
      <w:rFonts w:hint="default" w:ascii="PalatinoLinotype-Roman" w:hAnsi="PalatinoLinotype-Roman"/>
      <w:color w:val="000000"/>
      <w:sz w:val="20"/>
      <w:szCs w:val="20"/>
    </w:rPr>
  </w:style>
  <w:style w:type="character" w:customStyle="1" w:styleId="22">
    <w:name w:val="fontstyle61"/>
    <w:basedOn w:val="8"/>
    <w:autoRedefine/>
    <w:qFormat/>
    <w:uiPriority w:val="0"/>
    <w:rPr>
      <w:rFonts w:hint="default" w:ascii="PalatinoLinotype-Bold" w:hAnsi="PalatinoLinotype-Bold"/>
      <w:b/>
      <w:bCs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BBD98-4D69-4BE9-97B5-3086CA127E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752</Words>
  <Characters>2259</Characters>
  <Lines>6</Lines>
  <Paragraphs>1</Paragraphs>
  <TotalTime>15</TotalTime>
  <ScaleCrop>false</ScaleCrop>
  <LinksUpToDate>false</LinksUpToDate>
  <CharactersWithSpaces>2301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2021-10-22T07:20:00Z</dcterms:created>
  <dc:creator>liudada</dc:creator>
  <cp:lastModifiedBy>One-Life基因测序试剂 Mr.顾</cp:lastModifiedBy>
  <cp:lastPrinted>2023-10-24T08:05:00Z</cp:lastPrinted>
  <dcterms:modified xsi:type="dcterms:W3CDTF">2025-06-05T08:34:51Z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38EACE3970BB4A529AC2DC81DADBECF9_13</vt:lpwstr>
  </property>
  <property fmtid="{D5CDD505-2E9C-101B-9397-08002B2CF9AE}" pid="4" name="KSOTemplateDocerSaveRecord">
    <vt:lpwstr>eyJoZGlkIjoiYTgxNTMxZmU2ZmU0MGMxNjJmODYzMWQwYWY4NzUzMWEiLCJ1c2VySWQiOiIxMjQxNzQ1NTk3In0=</vt:lpwstr>
  </property>
</Properties>
</file>